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A9" w:rsidRDefault="009B6BA9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>
        <w:rPr>
          <w:rFonts w:ascii="Arial" w:hAnsi="Arial"/>
          <w:b/>
          <w:szCs w:val="28"/>
        </w:rPr>
        <w:t>ЗАОЧНЫЙ) КОНКУРС</w:t>
      </w:r>
      <w:r w:rsidR="0033536A">
        <w:rPr>
          <w:rFonts w:ascii="Arial" w:hAnsi="Arial"/>
          <w:b/>
          <w:szCs w:val="28"/>
        </w:rPr>
        <w:br/>
        <w:t>«</w:t>
      </w:r>
      <w:r w:rsidR="006A3D49">
        <w:rPr>
          <w:rFonts w:ascii="Arial" w:hAnsi="Arial"/>
          <w:b/>
          <w:szCs w:val="28"/>
        </w:rPr>
        <w:t>ЛУЧШАЯ НАУЧНАЯ ПРЕЗЕНТАЦИЯ - 2015</w:t>
      </w:r>
      <w:r w:rsidR="0033536A">
        <w:rPr>
          <w:rFonts w:ascii="Arial" w:hAnsi="Arial"/>
          <w:b/>
          <w:szCs w:val="28"/>
        </w:rPr>
        <w:t>»</w:t>
      </w:r>
      <w:r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jc w:val="center"/>
        <w:rPr>
          <w:rFonts w:ascii="Arial" w:hAnsi="Arial"/>
          <w:b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A3D49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25</w:t>
      </w:r>
      <w:r w:rsidR="00C70C90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="00C70C90">
        <w:rPr>
          <w:b/>
          <w:szCs w:val="28"/>
        </w:rPr>
        <w:t xml:space="preserve"> 2015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DF5858" w:rsidRDefault="00DF5858" w:rsidP="00DF5858">
      <w:pPr>
        <w:pStyle w:val="a5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</w:t>
      </w:r>
      <w:r w:rsidRPr="00BD0C70">
        <w:rPr>
          <w:b/>
          <w:spacing w:val="-4"/>
          <w:sz w:val="24"/>
          <w:szCs w:val="24"/>
        </w:rPr>
        <w:t>Международном конкурсе «</w:t>
      </w:r>
      <w:r w:rsidR="006A3D49">
        <w:rPr>
          <w:b/>
          <w:spacing w:val="-4"/>
          <w:sz w:val="24"/>
          <w:szCs w:val="24"/>
        </w:rPr>
        <w:t>Лучшая научная презентация - 2015</w:t>
      </w:r>
      <w:r w:rsidRPr="00BD0C70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. На конкурс принимаются работы, выполненные в формате презентаций </w:t>
      </w:r>
      <w:r>
        <w:rPr>
          <w:spacing w:val="-4"/>
          <w:sz w:val="24"/>
          <w:szCs w:val="24"/>
          <w:lang w:val="en-US"/>
        </w:rPr>
        <w:t>MS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Power</w:t>
      </w:r>
      <w:r w:rsidRPr="002E0EA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>. Рассматриваются все су</w:t>
      </w:r>
      <w:r w:rsidR="0097436A">
        <w:rPr>
          <w:spacing w:val="-4"/>
          <w:sz w:val="24"/>
          <w:szCs w:val="24"/>
        </w:rPr>
        <w:t>ществующие научные направления.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Pr="009B6BA9" w:rsidRDefault="009B6BA9" w:rsidP="009B6BA9">
      <w:pPr>
        <w:pStyle w:val="a5"/>
        <w:jc w:val="both"/>
        <w:rPr>
          <w:i/>
          <w:spacing w:val="-4"/>
          <w:sz w:val="24"/>
          <w:szCs w:val="24"/>
        </w:rPr>
      </w:pPr>
      <w:r w:rsidRPr="00A43A57">
        <w:rPr>
          <w:b/>
          <w:spacing w:val="-4"/>
          <w:sz w:val="24"/>
          <w:szCs w:val="24"/>
        </w:rPr>
        <w:t>Смысл конкурса:</w:t>
      </w:r>
      <w:r>
        <w:rPr>
          <w:b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>участники конкурса отправляют</w:t>
      </w:r>
      <w:r w:rsidR="006A3D49">
        <w:rPr>
          <w:i/>
          <w:spacing w:val="-4"/>
          <w:sz w:val="24"/>
          <w:szCs w:val="24"/>
        </w:rPr>
        <w:t xml:space="preserve"> </w:t>
      </w:r>
      <w:r w:rsidR="0097436A">
        <w:rPr>
          <w:i/>
          <w:spacing w:val="-4"/>
          <w:sz w:val="24"/>
          <w:szCs w:val="24"/>
        </w:rPr>
        <w:t>авторскую</w:t>
      </w:r>
      <w:r w:rsidR="006A3D49">
        <w:rPr>
          <w:i/>
          <w:spacing w:val="-4"/>
          <w:sz w:val="24"/>
          <w:szCs w:val="24"/>
        </w:rPr>
        <w:t xml:space="preserve"> </w:t>
      </w:r>
      <w:r w:rsidRPr="009B6BA9">
        <w:rPr>
          <w:i/>
          <w:spacing w:val="-4"/>
          <w:sz w:val="24"/>
          <w:szCs w:val="24"/>
        </w:rPr>
        <w:t xml:space="preserve">презентацию, </w:t>
      </w:r>
      <w:r w:rsidR="006A3D49">
        <w:rPr>
          <w:i/>
          <w:spacing w:val="-4"/>
          <w:sz w:val="24"/>
          <w:szCs w:val="24"/>
        </w:rPr>
        <w:t>посвященную изучаемому (преподаваемому) материалу в</w:t>
      </w:r>
      <w:r w:rsidR="00F81F29">
        <w:rPr>
          <w:i/>
          <w:spacing w:val="-4"/>
          <w:sz w:val="24"/>
          <w:szCs w:val="24"/>
        </w:rPr>
        <w:t xml:space="preserve"> рамках</w:t>
      </w:r>
      <w:r w:rsidR="006A3D49">
        <w:rPr>
          <w:i/>
          <w:spacing w:val="-4"/>
          <w:sz w:val="24"/>
          <w:szCs w:val="24"/>
        </w:rPr>
        <w:t xml:space="preserve"> выбранного</w:t>
      </w:r>
      <w:r w:rsidR="00F81F29">
        <w:rPr>
          <w:i/>
          <w:spacing w:val="-4"/>
          <w:sz w:val="24"/>
          <w:szCs w:val="24"/>
        </w:rPr>
        <w:t xml:space="preserve"> научного направления </w:t>
      </w:r>
      <w:r w:rsidR="006A3D49">
        <w:rPr>
          <w:i/>
          <w:spacing w:val="-4"/>
          <w:sz w:val="24"/>
          <w:szCs w:val="24"/>
        </w:rPr>
        <w:t>(</w:t>
      </w:r>
      <w:r w:rsidR="00F81F29">
        <w:rPr>
          <w:i/>
          <w:spacing w:val="-4"/>
          <w:sz w:val="24"/>
          <w:szCs w:val="24"/>
        </w:rPr>
        <w:t>научной темы</w:t>
      </w:r>
      <w:r w:rsidR="006A3D49">
        <w:rPr>
          <w:i/>
          <w:spacing w:val="-4"/>
          <w:sz w:val="24"/>
          <w:szCs w:val="24"/>
        </w:rPr>
        <w:t>)</w:t>
      </w:r>
      <w:r w:rsidR="00F81F29">
        <w:rPr>
          <w:i/>
          <w:spacing w:val="-4"/>
          <w:sz w:val="24"/>
          <w:szCs w:val="24"/>
        </w:rPr>
        <w:t>.</w:t>
      </w:r>
      <w:r w:rsidR="00A83DFE">
        <w:rPr>
          <w:i/>
          <w:spacing w:val="-4"/>
          <w:sz w:val="24"/>
          <w:szCs w:val="24"/>
        </w:rPr>
        <w:t xml:space="preserve"> Оцениваются выбранная тематика конкурсного материала</w:t>
      </w:r>
      <w:r w:rsidRPr="009B6BA9">
        <w:rPr>
          <w:i/>
          <w:spacing w:val="-4"/>
          <w:sz w:val="24"/>
          <w:szCs w:val="24"/>
        </w:rPr>
        <w:t>, а также грамотность выполнения презентации, креативность представления работы и т.д.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</w:p>
    <w:p w:rsidR="009B6BA9" w:rsidRDefault="009B6BA9" w:rsidP="009B6BA9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r w:rsidRPr="003D7ECD">
        <w:rPr>
          <w:b/>
          <w:spacing w:val="-4"/>
          <w:sz w:val="24"/>
          <w:szCs w:val="24"/>
        </w:rPr>
        <w:t xml:space="preserve">Western Union,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r w:rsidRPr="003D7ECD">
        <w:rPr>
          <w:b/>
          <w:spacing w:val="-4"/>
          <w:sz w:val="24"/>
          <w:szCs w:val="24"/>
          <w:lang w:val="en-US"/>
        </w:rPr>
        <w:t>Unistream</w:t>
      </w:r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>Кузьмин Сергей Владимирович, г. Казань</w:t>
      </w:r>
      <w:r w:rsidRPr="003D7ECD">
        <w:rPr>
          <w:spacing w:val="-4"/>
          <w:sz w:val="24"/>
          <w:szCs w:val="24"/>
        </w:rPr>
        <w:t xml:space="preserve"> (</w:t>
      </w:r>
      <w:r w:rsidRPr="003D7ECD">
        <w:rPr>
          <w:b/>
          <w:spacing w:val="-4"/>
          <w:sz w:val="24"/>
          <w:szCs w:val="24"/>
        </w:rPr>
        <w:t>Kuzmin Sergey Vladimirovich, Kazan, Russia</w:t>
      </w:r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презентацию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>, оргвзнос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0C65D2" w:rsidRDefault="000C65D2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41088" w:rsidRDefault="00341088" w:rsidP="006A3D49">
      <w:pPr>
        <w:pStyle w:val="a5"/>
        <w:rPr>
          <w:b/>
          <w:i/>
          <w:spacing w:val="-4"/>
          <w:sz w:val="24"/>
          <w:szCs w:val="24"/>
        </w:rPr>
      </w:pPr>
    </w:p>
    <w:p w:rsidR="006A3D49" w:rsidRDefault="006A3D49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6A3D49">
        <w:rPr>
          <w:spacing w:val="-4"/>
          <w:sz w:val="24"/>
          <w:szCs w:val="24"/>
        </w:rPr>
        <w:t>4</w:t>
      </w:r>
      <w:r w:rsidRPr="009A3315">
        <w:rPr>
          <w:spacing w:val="-4"/>
          <w:sz w:val="24"/>
          <w:szCs w:val="24"/>
        </w:rPr>
        <w:t>.</w:t>
      </w:r>
      <w:r w:rsidR="006A3D49">
        <w:rPr>
          <w:spacing w:val="-4"/>
          <w:sz w:val="24"/>
          <w:szCs w:val="24"/>
        </w:rPr>
        <w:t>12</w:t>
      </w:r>
      <w:r>
        <w:rPr>
          <w:spacing w:val="-4"/>
          <w:sz w:val="24"/>
          <w:szCs w:val="24"/>
        </w:rPr>
        <w:t>.2015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презентации в формате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6A3D49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 w:rsidR="006A3D49">
        <w:rPr>
          <w:spacing w:val="-4"/>
          <w:sz w:val="24"/>
          <w:szCs w:val="24"/>
        </w:rPr>
        <w:t>декабря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презентации – свободная.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341088" w:rsidRPr="00DF6A76" w:rsidRDefault="00341088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>онкурс проходит при поддержке Макеевского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406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C517DB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Описание </w:t>
            </w:r>
            <w:r w:rsidR="00F81F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презентации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81F29" w:rsidRDefault="00F81F29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A3D49" w:rsidRDefault="006A3D49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A3D49" w:rsidRDefault="006A3D49" w:rsidP="001925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E3F" w:rsidRDefault="00C36E3F" w:rsidP="00C36E3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192507" w:rsidRDefault="00192507" w:rsidP="0019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192507">
        <w:trPr>
          <w:trHeight w:val="1440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31F0E" w:rsidRPr="00693391" w:rsidTr="00192507">
        <w:trPr>
          <w:trHeight w:val="1448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6A3D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6A3D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Лучшая научная презентация - 2015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декабре  2015 года: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образовательном процессе современности»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вопросы юридических наук в современном научном знании»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формирования культурного потенциала современного общества»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взгляд современного научного мира»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декабря.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III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мировых научных процессов как основа общественного прогресса»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 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№12/2015,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декабря.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№32)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Лучшая  научная презентация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портфолио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«Колосс - 2015»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декабря.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Лучшая  научная  работа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D06BF" w:rsidRDefault="00BD06BF" w:rsidP="00BD06B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 – 22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литературе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19 - 24 декабря.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маркетингу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22 – 27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географии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декабря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семейному праву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BD06BF" w:rsidRDefault="00BD06BF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A2C0D" w:rsidRDefault="005A2C0D" w:rsidP="00BD06B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A2C0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921A3"/>
    <w:rsid w:val="00093809"/>
    <w:rsid w:val="000B7F34"/>
    <w:rsid w:val="000C65D2"/>
    <w:rsid w:val="000C660B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55CA1"/>
    <w:rsid w:val="00166E05"/>
    <w:rsid w:val="00171BE8"/>
    <w:rsid w:val="00173B97"/>
    <w:rsid w:val="00174205"/>
    <w:rsid w:val="00185227"/>
    <w:rsid w:val="00191C0A"/>
    <w:rsid w:val="00192507"/>
    <w:rsid w:val="00192B72"/>
    <w:rsid w:val="001A7A89"/>
    <w:rsid w:val="001D1FFF"/>
    <w:rsid w:val="001D3B50"/>
    <w:rsid w:val="001D3E4F"/>
    <w:rsid w:val="001E5CAF"/>
    <w:rsid w:val="001F315E"/>
    <w:rsid w:val="002005F5"/>
    <w:rsid w:val="0020348B"/>
    <w:rsid w:val="00206BEB"/>
    <w:rsid w:val="002177BB"/>
    <w:rsid w:val="00232CEE"/>
    <w:rsid w:val="0024073D"/>
    <w:rsid w:val="00242101"/>
    <w:rsid w:val="00251A32"/>
    <w:rsid w:val="002543B8"/>
    <w:rsid w:val="0026150F"/>
    <w:rsid w:val="002630A2"/>
    <w:rsid w:val="00263454"/>
    <w:rsid w:val="0026627D"/>
    <w:rsid w:val="0027162A"/>
    <w:rsid w:val="00284A30"/>
    <w:rsid w:val="002B0ACC"/>
    <w:rsid w:val="002B406F"/>
    <w:rsid w:val="002B6D7F"/>
    <w:rsid w:val="002D1D62"/>
    <w:rsid w:val="002D7955"/>
    <w:rsid w:val="002E5C52"/>
    <w:rsid w:val="002E7327"/>
    <w:rsid w:val="00313A2F"/>
    <w:rsid w:val="00315EDE"/>
    <w:rsid w:val="00316815"/>
    <w:rsid w:val="00321E12"/>
    <w:rsid w:val="003271A9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74FB"/>
    <w:rsid w:val="00531F0E"/>
    <w:rsid w:val="005335BF"/>
    <w:rsid w:val="00535DB9"/>
    <w:rsid w:val="00536038"/>
    <w:rsid w:val="0054031E"/>
    <w:rsid w:val="005514B3"/>
    <w:rsid w:val="0056634F"/>
    <w:rsid w:val="0058769F"/>
    <w:rsid w:val="005A2C0D"/>
    <w:rsid w:val="005B1B76"/>
    <w:rsid w:val="005B4A66"/>
    <w:rsid w:val="005E3C71"/>
    <w:rsid w:val="005E445B"/>
    <w:rsid w:val="005F677C"/>
    <w:rsid w:val="00603EA9"/>
    <w:rsid w:val="00604101"/>
    <w:rsid w:val="00636ADE"/>
    <w:rsid w:val="00665CBE"/>
    <w:rsid w:val="00675476"/>
    <w:rsid w:val="006829C0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542B2"/>
    <w:rsid w:val="00855A24"/>
    <w:rsid w:val="00884B11"/>
    <w:rsid w:val="008850B5"/>
    <w:rsid w:val="0089125A"/>
    <w:rsid w:val="00894B13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41500"/>
    <w:rsid w:val="0097436A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4FE9"/>
    <w:rsid w:val="00A76DC0"/>
    <w:rsid w:val="00A83DFE"/>
    <w:rsid w:val="00A85241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403"/>
    <w:rsid w:val="00B73AE5"/>
    <w:rsid w:val="00B8500E"/>
    <w:rsid w:val="00B95732"/>
    <w:rsid w:val="00B97CF9"/>
    <w:rsid w:val="00BA3573"/>
    <w:rsid w:val="00BA4A37"/>
    <w:rsid w:val="00BA7728"/>
    <w:rsid w:val="00BC4D1B"/>
    <w:rsid w:val="00BD06BF"/>
    <w:rsid w:val="00BE0E32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7898"/>
    <w:rsid w:val="00C33916"/>
    <w:rsid w:val="00C36E3F"/>
    <w:rsid w:val="00C517DB"/>
    <w:rsid w:val="00C6146F"/>
    <w:rsid w:val="00C70C90"/>
    <w:rsid w:val="00C87C89"/>
    <w:rsid w:val="00CA3846"/>
    <w:rsid w:val="00CA3A1C"/>
    <w:rsid w:val="00CB2390"/>
    <w:rsid w:val="00CC36EF"/>
    <w:rsid w:val="00CE0C45"/>
    <w:rsid w:val="00CE2507"/>
    <w:rsid w:val="00CF7679"/>
    <w:rsid w:val="00D001F9"/>
    <w:rsid w:val="00D03345"/>
    <w:rsid w:val="00D047EF"/>
    <w:rsid w:val="00D0556C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6B05"/>
    <w:rsid w:val="00EE73EB"/>
    <w:rsid w:val="00EF63A4"/>
    <w:rsid w:val="00F16464"/>
    <w:rsid w:val="00F35BCF"/>
    <w:rsid w:val="00F36218"/>
    <w:rsid w:val="00F411AC"/>
    <w:rsid w:val="00F44121"/>
    <w:rsid w:val="00F44B60"/>
    <w:rsid w:val="00F664F7"/>
    <w:rsid w:val="00F81F29"/>
    <w:rsid w:val="00F84A0F"/>
    <w:rsid w:val="00F923D5"/>
    <w:rsid w:val="00FB04FC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2015-06-18T10:09:00Z</dcterms:created>
  <dcterms:modified xsi:type="dcterms:W3CDTF">2015-11-07T13:02:00Z</dcterms:modified>
</cp:coreProperties>
</file>